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701"/>
          <w:tab w:val="right" w:leader="none" w:pos="9639"/>
        </w:tabs>
        <w:spacing w:after="240" w:before="240"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3GPP TSG-RAN WG2 Meeting #127</w:t>
      </w:r>
      <w:r w:rsidDel="00000000" w:rsidR="00000000" w:rsidRPr="00000000">
        <w:rPr>
          <w:rFonts w:ascii="Times New Roman" w:cs="Times New Roman" w:eastAsia="Times New Roman" w:hAnsi="Times New Roman"/>
          <w:b w:val="1"/>
          <w:rtl w:val="0"/>
        </w:rPr>
        <w:t xml:space="preserve">                </w:t>
        <w:tab/>
        <w:t xml:space="preserve">R2-2407280</w:t>
      </w:r>
      <w:r w:rsidDel="00000000" w:rsidR="00000000" w:rsidRPr="00000000">
        <w:rPr>
          <w:rFonts w:ascii="Times New Roman" w:cs="Times New Roman" w:eastAsia="Times New Roman" w:hAnsi="Times New Roman"/>
          <w:b w:val="1"/>
          <w:color w:val="ff0000"/>
          <w:rtl w:val="0"/>
        </w:rPr>
        <w:br w:type="textWrapping"/>
      </w:r>
      <w:r w:rsidDel="00000000" w:rsidR="00000000" w:rsidRPr="00000000">
        <w:rPr>
          <w:rFonts w:ascii="Times New Roman" w:cs="Times New Roman" w:eastAsia="Times New Roman" w:hAnsi="Times New Roman"/>
          <w:b w:val="1"/>
          <w:rtl w:val="0"/>
        </w:rPr>
        <w:t xml:space="preserve">Maastricht, Netherlands, Aug 19th – 23rd, 2024</w:t>
        <w:tab/>
      </w:r>
    </w:p>
    <w:p w:rsidR="00000000" w:rsidDel="00000000" w:rsidP="00000000" w:rsidRDefault="00000000" w:rsidRPr="00000000" w14:paraId="00000002">
      <w:pPr>
        <w:tabs>
          <w:tab w:val="left" w:leader="none" w:pos="1701"/>
          <w:tab w:val="right" w:leader="none" w:pos="9639"/>
        </w:tabs>
        <w:spacing w:after="60"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Agenda Item:</w:t>
        <w:tab/>
        <w:t xml:space="preserve">8.7.5 </w:t>
      </w:r>
    </w:p>
    <w:p w:rsidR="00000000" w:rsidDel="00000000" w:rsidP="00000000" w:rsidRDefault="00000000" w:rsidRPr="00000000" w14:paraId="00000003">
      <w:pPr>
        <w:tabs>
          <w:tab w:val="left" w:leader="none" w:pos="1701"/>
          <w:tab w:val="right" w:leader="none" w:pos="9639"/>
        </w:tabs>
        <w:spacing w:after="60"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Source: </w:t>
        <w:tab/>
        <w:t xml:space="preserve">Meta</w:t>
      </w:r>
    </w:p>
    <w:p w:rsidR="00000000" w:rsidDel="00000000" w:rsidP="00000000" w:rsidRDefault="00000000" w:rsidRPr="00000000" w14:paraId="00000004">
      <w:pPr>
        <w:tabs>
          <w:tab w:val="left" w:leader="none" w:pos="1701"/>
          <w:tab w:val="right" w:leader="none" w:pos="9639"/>
        </w:tabs>
        <w:spacing w:after="60"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Title:  </w:t>
        <w:tab/>
        <w:t xml:space="preserve">Discussion on RLC AM Enhancements for XR</w:t>
      </w:r>
    </w:p>
    <w:p w:rsidR="00000000" w:rsidDel="00000000" w:rsidP="00000000" w:rsidRDefault="00000000" w:rsidRPr="00000000" w14:paraId="00000005">
      <w:pPr>
        <w:tabs>
          <w:tab w:val="left" w:leader="none" w:pos="1701"/>
          <w:tab w:val="right" w:leader="none" w:pos="9639"/>
        </w:tabs>
        <w:spacing w:after="60"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Document for:</w:t>
        <w:tab/>
        <w:t xml:space="preserve">Discussion and Decision</w:t>
      </w:r>
    </w:p>
    <w:p w:rsidR="00000000" w:rsidDel="00000000" w:rsidP="00000000" w:rsidRDefault="00000000" w:rsidRPr="00000000" w14:paraId="00000006">
      <w:pPr>
        <w:pStyle w:val="Heading1"/>
        <w:numPr>
          <w:ilvl w:val="0"/>
          <w:numId w:val="2"/>
        </w:numPr>
        <w:pBdr>
          <w:top w:color="000000" w:space="3" w:sz="12" w:val="single"/>
        </w:pBdr>
        <w:spacing w:after="180" w:before="240" w:line="240" w:lineRule="auto"/>
        <w:ind w:left="432" w:hanging="432"/>
        <w:rPr>
          <w:rFonts w:ascii="Times New Roman" w:cs="Times New Roman" w:eastAsia="Times New Roman" w:hAnsi="Times New Roman"/>
          <w:b w:val="1"/>
          <w:sz w:val="22"/>
          <w:szCs w:val="22"/>
        </w:rPr>
      </w:pPr>
      <w:bookmarkStart w:colFirst="0" w:colLast="0" w:name="_heading=h.1fob9te" w:id="0"/>
      <w:bookmarkEnd w:id="0"/>
      <w:r w:rsidDel="00000000" w:rsidR="00000000" w:rsidRPr="00000000">
        <w:rPr>
          <w:rFonts w:ascii="Times New Roman" w:cs="Times New Roman" w:eastAsia="Times New Roman" w:hAnsi="Times New Roman"/>
          <w:b w:val="1"/>
          <w:sz w:val="22"/>
          <w:szCs w:val="22"/>
          <w:rtl w:val="0"/>
        </w:rPr>
        <w:t xml:space="preserve">Introduction</w:t>
      </w:r>
    </w:p>
    <w:p w:rsidR="00000000" w:rsidDel="00000000" w:rsidP="00000000" w:rsidRDefault="00000000" w:rsidRPr="00000000" w14:paraId="0000000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RAN #102 plenary meeting, it was agreed that one of the WI objectives in the Phase 3 XR WID is [1]:</w:t>
      </w:r>
    </w:p>
    <w:p w:rsidR="00000000" w:rsidDel="00000000" w:rsidP="00000000" w:rsidRDefault="00000000" w:rsidRPr="00000000" w14:paraId="00000008">
      <w:pPr>
        <w:rPr>
          <w:rFonts w:ascii="Times New Roman" w:cs="Times New Roman" w:eastAsia="Times New Roman" w:hAnsi="Times New Roman"/>
        </w:rPr>
      </w:pPr>
      <w:r w:rsidDel="00000000" w:rsidR="00000000" w:rsidRPr="00000000">
        <w:rPr>
          <w:rtl w:val="0"/>
        </w:rPr>
      </w:r>
    </w:p>
    <w:tbl>
      <w:tblPr>
        <w:tblStyle w:val="Table1"/>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p w:rsidR="00000000" w:rsidDel="00000000" w:rsidP="00000000" w:rsidRDefault="00000000" w:rsidRPr="00000000" w14:paraId="00000009">
            <w:pPr>
              <w:numPr>
                <w:ilvl w:val="0"/>
                <w:numId w:val="3"/>
              </w:numPr>
              <w:spacing w:after="0" w:afterAutospacing="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Specify the following user plane enhancements [RAN2]</w:t>
            </w:r>
          </w:p>
          <w:p w:rsidR="00000000" w:rsidDel="00000000" w:rsidP="00000000" w:rsidRDefault="00000000" w:rsidRPr="00000000" w14:paraId="0000000A">
            <w:pPr>
              <w:numPr>
                <w:ilvl w:val="1"/>
                <w:numId w:val="3"/>
              </w:numPr>
              <w:spacing w:after="180" w:lineRule="auto"/>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RLC re-transmission related enhancements for operation of RLC Acknowledged Mode (AM) with small packet delay budget. </w:t>
            </w:r>
          </w:p>
        </w:tc>
      </w:tr>
    </w:tbl>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C">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RAN2 #126, the following agreements were made:</w:t>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tl w:val="0"/>
        </w:rPr>
      </w:r>
    </w:p>
    <w:tbl>
      <w:tblPr>
        <w:tblStyle w:val="Table2"/>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p w:rsidR="00000000" w:rsidDel="00000000" w:rsidP="00000000" w:rsidRDefault="00000000" w:rsidRPr="00000000" w14:paraId="0000000E">
            <w:pPr>
              <w:rPr>
                <w:rFonts w:ascii="Times New Roman" w:cs="Times New Roman" w:eastAsia="Times New Roman" w:hAnsi="Times New Roman"/>
                <w:b w:val="1"/>
                <w:highlight w:val="green"/>
              </w:rPr>
            </w:pPr>
            <w:r w:rsidDel="00000000" w:rsidR="00000000" w:rsidRPr="00000000">
              <w:rPr>
                <w:rFonts w:ascii="Times New Roman" w:cs="Times New Roman" w:eastAsia="Times New Roman" w:hAnsi="Times New Roman"/>
                <w:b w:val="1"/>
                <w:highlight w:val="green"/>
                <w:rtl w:val="0"/>
              </w:rPr>
              <w:t xml:space="preserve">Agreement</w:t>
            </w:r>
          </w:p>
          <w:p w:rsidR="00000000" w:rsidDel="00000000" w:rsidP="00000000" w:rsidRDefault="00000000" w:rsidRPr="00000000" w14:paraId="0000000F">
            <w:pPr>
              <w:numPr>
                <w:ilvl w:val="0"/>
                <w:numId w:val="1"/>
              </w:numPr>
              <w:spacing w:after="0" w:afterAutospacing="0" w:before="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To achieve timely retransmissions on RLC layer for XR traffic, RAN2 will consider the following options:</w:t>
            </w:r>
          </w:p>
          <w:p w:rsidR="00000000" w:rsidDel="00000000" w:rsidP="00000000" w:rsidRDefault="00000000" w:rsidRPr="00000000" w14:paraId="00000010">
            <w:pPr>
              <w:numPr>
                <w:ilvl w:val="1"/>
                <w:numId w:val="1"/>
              </w:numPr>
              <w:spacing w:after="0" w:afterAutospacing="0" w:before="0" w:lineRule="auto"/>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Autonomous retransmission (i.e. without status report) of PDUs based on some triggers (existing or new triggers can be considered)</w:t>
            </w:r>
          </w:p>
          <w:p w:rsidR="00000000" w:rsidDel="00000000" w:rsidP="00000000" w:rsidRDefault="00000000" w:rsidRPr="00000000" w14:paraId="00000011">
            <w:pPr>
              <w:numPr>
                <w:ilvl w:val="1"/>
                <w:numId w:val="1"/>
              </w:numPr>
              <w:spacing w:after="0" w:afterAutospacing="0" w:before="0" w:lineRule="auto"/>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Retransmission based on enhanced status report</w:t>
            </w:r>
          </w:p>
          <w:p w:rsidR="00000000" w:rsidDel="00000000" w:rsidP="00000000" w:rsidRDefault="00000000" w:rsidRPr="00000000" w14:paraId="00000012">
            <w:pPr>
              <w:numPr>
                <w:ilvl w:val="1"/>
                <w:numId w:val="1"/>
              </w:numPr>
              <w:spacing w:after="240" w:before="0" w:lineRule="auto"/>
              <w:ind w:left="144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Retransmission based on enhanced polling</w:t>
            </w:r>
          </w:p>
          <w:p w:rsidR="00000000" w:rsidDel="00000000" w:rsidP="00000000" w:rsidRDefault="00000000" w:rsidRPr="00000000" w14:paraId="00000013">
            <w:pPr>
              <w:spacing w:after="240" w:before="0"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FFS whether any enhancements are needed or this can be solved with proper configuration and current mechanism</w:t>
            </w:r>
          </w:p>
          <w:p w:rsidR="00000000" w:rsidDel="00000000" w:rsidP="00000000" w:rsidRDefault="00000000" w:rsidRPr="00000000" w14:paraId="00000014">
            <w:pPr>
              <w:numPr>
                <w:ilvl w:val="0"/>
                <w:numId w:val="1"/>
              </w:numPr>
              <w:spacing w:after="0" w:afterAutospacing="0" w:before="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u w:val="single"/>
                <w:rtl w:val="0"/>
              </w:rPr>
              <w:t xml:space="preserve">Impact on capacity should be considered</w:t>
            </w:r>
          </w:p>
          <w:p w:rsidR="00000000" w:rsidDel="00000000" w:rsidP="00000000" w:rsidRDefault="00000000" w:rsidRPr="00000000" w14:paraId="00000015">
            <w:pPr>
              <w:numPr>
                <w:ilvl w:val="0"/>
                <w:numId w:val="1"/>
              </w:numPr>
              <w:spacing w:after="240" w:before="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RAN2 focuses on the enhancements for UL traffic</w:t>
            </w:r>
          </w:p>
        </w:tc>
      </w:tr>
    </w:tbl>
    <w:p w:rsidR="00000000" w:rsidDel="00000000" w:rsidP="00000000" w:rsidRDefault="00000000" w:rsidRPr="00000000" w14:paraId="00000016">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this paper, we discuss user plane enhancements for XR.</w:t>
      </w:r>
    </w:p>
    <w:p w:rsidR="00000000" w:rsidDel="00000000" w:rsidP="00000000" w:rsidRDefault="00000000" w:rsidRPr="00000000" w14:paraId="00000018">
      <w:pPr>
        <w:pStyle w:val="Heading1"/>
        <w:numPr>
          <w:ilvl w:val="0"/>
          <w:numId w:val="2"/>
        </w:numPr>
        <w:pBdr>
          <w:top w:color="000000" w:space="3" w:sz="12" w:val="single"/>
        </w:pBdr>
        <w:spacing w:after="180" w:before="240" w:line="240" w:lineRule="auto"/>
        <w:ind w:left="432" w:hanging="432"/>
        <w:rPr>
          <w:rFonts w:ascii="Times New Roman" w:cs="Times New Roman" w:eastAsia="Times New Roman" w:hAnsi="Times New Roman"/>
          <w:b w:val="1"/>
          <w:sz w:val="22"/>
          <w:szCs w:val="22"/>
        </w:rPr>
      </w:pPr>
      <w:bookmarkStart w:colFirst="0" w:colLast="0" w:name="_heading=h.3znysh7" w:id="1"/>
      <w:bookmarkEnd w:id="1"/>
      <w:r w:rsidDel="00000000" w:rsidR="00000000" w:rsidRPr="00000000">
        <w:rPr>
          <w:rFonts w:ascii="Times New Roman" w:cs="Times New Roman" w:eastAsia="Times New Roman" w:hAnsi="Times New Roman"/>
          <w:b w:val="1"/>
          <w:sz w:val="22"/>
          <w:szCs w:val="22"/>
          <w:rtl w:val="0"/>
        </w:rPr>
        <w:t xml:space="preserve">Discussion</w:t>
      </w:r>
    </w:p>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RLC layer offers two operating modes: Acknowledged Mode (AM) and Unacknowledged Mode (UM). RLC AM mode employs a reliable data transmission method by using ARQ, where the receiver sends acknowledgments for correctly received data blocks and requests retransmission for those with errors. Conversely, RLC UM mode is a less reliable, efficient mode that does not employ ARQ or error correction mechanisms. Data is transmitted without any acknowledgment or retransmission requests, making it suitable for delay-sensitive applications where a small amount of data loss can be tolerated.</w:t>
      </w:r>
    </w:p>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identified and acknowledged in [1], RLC AM mode is useful to limit data loss. However, its feedback or retransmission triggering mechanisms are not well adapted for short packet delay budgets applicable to XR traffic. Also, for RLC AM, considerable amounts of data may be in-flight, i.e. in the window, and there is no current way to avoid retransmitting this data, even if the data is old.</w:t>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 delay-sensitive and reliability-demanding traffic, an approach to improve the delay associated with RLC retransmissions is to enable early retransmissions without dependence on polling or STATUS reports. This can be achieved by autonomously performing RLC SDU retransmissions at a shortened, fixed time interval, ensuring all retransmissions complete within the Packet Delay Budget (PDB). </w:t>
      </w:r>
    </w:p>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Proposal 1: Support RLC retransmissions at a shortened time interval within PDB. </w:t>
      </w:r>
    </w:p>
    <w:p w:rsidR="00000000" w:rsidDel="00000000" w:rsidP="00000000" w:rsidRDefault="00000000" w:rsidRPr="00000000" w14:paraId="0000001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Alternatively, for delay-sensitive and less reliability-focused traffic, RLC retransmissions could be terminated once the PDB is exceeded.</w:t>
      </w:r>
    </w:p>
    <w:p w:rsidR="00000000" w:rsidDel="00000000" w:rsidP="00000000" w:rsidRDefault="00000000" w:rsidRPr="00000000" w14:paraId="0000002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Proposal 2: Support termination of RLC retransmissions beyond PDB. </w:t>
      </w:r>
    </w:p>
    <w:p w:rsidR="00000000" w:rsidDel="00000000" w:rsidP="00000000" w:rsidRDefault="00000000" w:rsidRPr="00000000" w14:paraId="00000023">
      <w:pPr>
        <w:pStyle w:val="Heading1"/>
        <w:numPr>
          <w:ilvl w:val="0"/>
          <w:numId w:val="2"/>
        </w:numPr>
        <w:pBdr>
          <w:top w:color="000000" w:space="3" w:sz="12" w:val="single"/>
        </w:pBdr>
        <w:spacing w:after="180" w:before="240" w:line="240" w:lineRule="auto"/>
        <w:ind w:left="432" w:hanging="432"/>
        <w:rPr>
          <w:rFonts w:ascii="Times New Roman" w:cs="Times New Roman" w:eastAsia="Times New Roman" w:hAnsi="Times New Roman"/>
          <w:b w:val="1"/>
          <w:sz w:val="22"/>
          <w:szCs w:val="22"/>
        </w:rPr>
      </w:pPr>
      <w:bookmarkStart w:colFirst="0" w:colLast="0" w:name="_heading=h.4d34og8" w:id="2"/>
      <w:bookmarkEnd w:id="2"/>
      <w:r w:rsidDel="00000000" w:rsidR="00000000" w:rsidRPr="00000000">
        <w:rPr>
          <w:rFonts w:ascii="Times New Roman" w:cs="Times New Roman" w:eastAsia="Times New Roman" w:hAnsi="Times New Roman"/>
          <w:b w:val="1"/>
          <w:sz w:val="22"/>
          <w:szCs w:val="22"/>
          <w:rtl w:val="0"/>
        </w:rPr>
        <w:t xml:space="preserve">Conclusion </w:t>
      </w:r>
    </w:p>
    <w:p w:rsidR="00000000" w:rsidDel="00000000" w:rsidP="00000000" w:rsidRDefault="00000000" w:rsidRPr="00000000" w14:paraId="00000024">
      <w:pPr>
        <w:tabs>
          <w:tab w:val="center" w:leader="none" w:pos="4536"/>
          <w:tab w:val="right" w:leader="none" w:pos="9072"/>
          <w:tab w:val="left" w:leader="none" w:pos="1800"/>
        </w:tabs>
        <w:spacing w:line="240" w:lineRule="auto"/>
        <w:rPr>
          <w:rFonts w:ascii="Times New Roman" w:cs="Times New Roman" w:eastAsia="Times New Roman" w:hAnsi="Times New Roman"/>
        </w:rPr>
      </w:pPr>
      <w:bookmarkStart w:colFirst="0" w:colLast="0" w:name="_heading=h.gjdgxs" w:id="3"/>
      <w:bookmarkEnd w:id="3"/>
      <w:r w:rsidDel="00000000" w:rsidR="00000000" w:rsidRPr="00000000">
        <w:rPr>
          <w:rFonts w:ascii="Times New Roman" w:cs="Times New Roman" w:eastAsia="Times New Roman" w:hAnsi="Times New Roman"/>
          <w:rtl w:val="0"/>
        </w:rPr>
        <w:t xml:space="preserve">In this paper, we discuss two approaches to improve RLC retransmissions:</w:t>
      </w:r>
    </w:p>
    <w:p w:rsidR="00000000" w:rsidDel="00000000" w:rsidP="00000000" w:rsidRDefault="00000000" w:rsidRPr="00000000" w14:paraId="00000025">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Proposal 1: Support RLC retransmissions at a shortened time interval within PDB. </w:t>
      </w:r>
    </w:p>
    <w:p w:rsidR="00000000" w:rsidDel="00000000" w:rsidP="00000000" w:rsidRDefault="00000000" w:rsidRPr="00000000" w14:paraId="0000002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Proposal 2: Support termination of RLC retransmissions beyond PDB. </w:t>
      </w:r>
    </w:p>
    <w:p w:rsidR="00000000" w:rsidDel="00000000" w:rsidP="00000000" w:rsidRDefault="00000000" w:rsidRPr="00000000" w14:paraId="00000029">
      <w:pPr>
        <w:pStyle w:val="Heading1"/>
        <w:numPr>
          <w:ilvl w:val="0"/>
          <w:numId w:val="2"/>
        </w:numPr>
        <w:pBdr>
          <w:top w:color="000000" w:space="3" w:sz="12" w:val="single"/>
        </w:pBdr>
        <w:spacing w:after="180" w:before="240" w:line="240" w:lineRule="auto"/>
        <w:ind w:left="432" w:hanging="432"/>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References </w:t>
      </w:r>
    </w:p>
    <w:p w:rsidR="00000000" w:rsidDel="00000000" w:rsidP="00000000" w:rsidRDefault="00000000" w:rsidRPr="00000000" w14:paraId="0000002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RP-240791, “Revised WID on XR (eXtended Reality) for NR Phase 3”</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432" w:hanging="432"/>
      </w:pPr>
      <w:rPr>
        <w:b w:val="1"/>
      </w:rPr>
    </w:lvl>
    <w:lvl w:ilvl="1">
      <w:start w:val="1"/>
      <w:numFmt w:val="decimal"/>
      <w:lvlText w:val="%1.%2"/>
      <w:lvlJc w:val="left"/>
      <w:pPr>
        <w:ind w:left="763"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tblPr>
      <w:tblStyleRowBandSize w:val="1"/>
      <w:tblStyleColBandSize w:val="1"/>
      <w:tblCellMar>
        <w:top w:w="100.0" w:type="dxa"/>
        <w:left w:w="100.0" w:type="dxa"/>
        <w:bottom w:w="100.0" w:type="dxa"/>
        <w:right w:w="100.0" w:type="dxa"/>
      </w:tblCellMar>
    </w:tblPr>
  </w:style>
  <w:style w:type="table" w:styleId="af2" w:customStyle="1">
    <w:basedOn w:val="TableNormal"/>
    <w:tblPr>
      <w:tblStyleRowBandSize w:val="1"/>
      <w:tblStyleColBandSize w:val="1"/>
      <w:tblCellMar>
        <w:top w:w="100.0" w:type="dxa"/>
        <w:left w:w="100.0" w:type="dxa"/>
        <w:bottom w:w="100.0" w:type="dxa"/>
        <w:right w:w="100.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table" w:styleId="af4" w:customStyle="1">
    <w:basedOn w:val="TableNormal"/>
    <w:tblPr>
      <w:tblStyleRowBandSize w:val="1"/>
      <w:tblStyleColBandSize w:val="1"/>
      <w:tblCellMar>
        <w:top w:w="100.0" w:type="dxa"/>
        <w:left w:w="100.0" w:type="dxa"/>
        <w:bottom w:w="100.0" w:type="dxa"/>
        <w:right w:w="100.0" w:type="dxa"/>
      </w:tblCellMar>
    </w:tblPr>
  </w:style>
  <w:style w:type="table" w:styleId="af5" w:customStyle="1">
    <w:basedOn w:val="TableNormal"/>
    <w:tblPr>
      <w:tblStyleRowBandSize w:val="1"/>
      <w:tblStyleColBandSize w:val="1"/>
      <w:tblCellMar>
        <w:top w:w="100.0" w:type="dxa"/>
        <w:left w:w="100.0" w:type="dxa"/>
        <w:bottom w:w="100.0" w:type="dxa"/>
        <w:right w:w="100.0" w:type="dxa"/>
      </w:tblCellMar>
    </w:tblPr>
  </w:style>
  <w:style w:type="table" w:styleId="af6" w:customStyle="1">
    <w:basedOn w:val="TableNormal"/>
    <w:tblPr>
      <w:tblStyleRowBandSize w:val="1"/>
      <w:tblStyleColBandSize w:val="1"/>
      <w:tblCellMar>
        <w:top w:w="100.0" w:type="dxa"/>
        <w:left w:w="100.0" w:type="dxa"/>
        <w:bottom w:w="100.0" w:type="dxa"/>
        <w:right w:w="100.0" w:type="dxa"/>
      </w:tblCellMar>
    </w:tblPr>
  </w:style>
  <w:style w:type="table" w:styleId="af7" w:customStyle="1">
    <w:basedOn w:val="TableNormal"/>
    <w:tblPr>
      <w:tblStyleRowBandSize w:val="1"/>
      <w:tblStyleColBandSize w:val="1"/>
      <w:tblCellMar>
        <w:top w:w="100.0" w:type="dxa"/>
        <w:left w:w="100.0" w:type="dxa"/>
        <w:bottom w:w="100.0" w:type="dxa"/>
        <w:right w:w="100.0" w:type="dxa"/>
      </w:tblCellMar>
    </w:tblPr>
  </w:style>
  <w:style w:type="table" w:styleId="af8" w:customStyle="1">
    <w:basedOn w:val="TableNormal"/>
    <w:tblPr>
      <w:tblStyleRowBandSize w:val="1"/>
      <w:tblStyleColBandSize w:val="1"/>
      <w:tblCellMar>
        <w:top w:w="100.0" w:type="dxa"/>
        <w:left w:w="100.0" w:type="dxa"/>
        <w:bottom w:w="100.0" w:type="dxa"/>
        <w:right w:w="100.0" w:type="dxa"/>
      </w:tblCellMar>
    </w:tblPr>
  </w:style>
  <w:style w:type="table" w:styleId="af9" w:customStyle="1">
    <w:basedOn w:val="TableNormal"/>
    <w:tblPr>
      <w:tblStyleRowBandSize w:val="1"/>
      <w:tblStyleColBandSize w:val="1"/>
      <w:tblCellMar>
        <w:top w:w="100.0" w:type="dxa"/>
        <w:left w:w="100.0" w:type="dxa"/>
        <w:bottom w:w="100.0" w:type="dxa"/>
        <w:right w:w="100.0" w:type="dxa"/>
      </w:tblCellMar>
    </w:tblPr>
  </w:style>
  <w:style w:type="table" w:styleId="afa" w:customStyle="1">
    <w:basedOn w:val="TableNormal"/>
    <w:tblPr>
      <w:tblStyleRowBandSize w:val="1"/>
      <w:tblStyleColBandSize w:val="1"/>
      <w:tblCellMar>
        <w:top w:w="100.0" w:type="dxa"/>
        <w:left w:w="100.0" w:type="dxa"/>
        <w:bottom w:w="100.0" w:type="dxa"/>
        <w:right w:w="100.0" w:type="dxa"/>
      </w:tblCellMar>
    </w:tblPr>
  </w:style>
  <w:style w:type="table" w:styleId="afb" w:customStyle="1">
    <w:basedOn w:val="TableNormal"/>
    <w:tblPr>
      <w:tblStyleRowBandSize w:val="1"/>
      <w:tblStyleColBandSize w:val="1"/>
      <w:tblCellMar>
        <w:top w:w="100.0" w:type="dxa"/>
        <w:left w:w="100.0" w:type="dxa"/>
        <w:bottom w:w="100.0" w:type="dxa"/>
        <w:right w:w="100.0" w:type="dxa"/>
      </w:tblCellMar>
    </w:tblPr>
  </w:style>
  <w:style w:type="table" w:styleId="afc" w:customStyle="1">
    <w:basedOn w:val="TableNormal"/>
    <w:tblPr>
      <w:tblStyleRowBandSize w:val="1"/>
      <w:tblStyleColBandSize w:val="1"/>
      <w:tblCellMar>
        <w:top w:w="100.0" w:type="dxa"/>
        <w:left w:w="100.0" w:type="dxa"/>
        <w:bottom w:w="100.0" w:type="dxa"/>
        <w:right w:w="100.0" w:type="dxa"/>
      </w:tblCellMar>
    </w:tblPr>
  </w:style>
  <w:style w:type="table" w:styleId="afd" w:customStyle="1">
    <w:basedOn w:val="TableNormal"/>
    <w:tblPr>
      <w:tblStyleRowBandSize w:val="1"/>
      <w:tblStyleColBandSize w:val="1"/>
      <w:tblCellMar>
        <w:top w:w="100.0" w:type="dxa"/>
        <w:left w:w="100.0" w:type="dxa"/>
        <w:bottom w:w="100.0" w:type="dxa"/>
        <w:right w:w="100.0" w:type="dxa"/>
      </w:tblCellMar>
    </w:tblPr>
  </w:style>
  <w:style w:type="table" w:styleId="afe" w:customStyle="1">
    <w:basedOn w:val="TableNormal"/>
    <w:tblPr>
      <w:tblStyleRowBandSize w:val="1"/>
      <w:tblStyleColBandSize w:val="1"/>
      <w:tblCellMar>
        <w:top w:w="100.0" w:type="dxa"/>
        <w:left w:w="100.0" w:type="dxa"/>
        <w:bottom w:w="100.0" w:type="dxa"/>
        <w:right w:w="100.0" w:type="dxa"/>
      </w:tblCellMar>
    </w:tblPr>
  </w:style>
  <w:style w:type="table" w:styleId="aff" w:customStyle="1">
    <w:basedOn w:val="TableNormal"/>
    <w:tblPr>
      <w:tblStyleRowBandSize w:val="1"/>
      <w:tblStyleColBandSize w:val="1"/>
      <w:tblCellMar>
        <w:top w:w="100.0" w:type="dxa"/>
        <w:left w:w="100.0" w:type="dxa"/>
        <w:bottom w:w="100.0" w:type="dxa"/>
        <w:right w:w="100.0" w:type="dxa"/>
      </w:tblCellMar>
    </w:tblPr>
  </w:style>
  <w:style w:type="table" w:styleId="aff0" w:customStyle="1">
    <w:basedOn w:val="TableNormal"/>
    <w:tblPr>
      <w:tblStyleRowBandSize w:val="1"/>
      <w:tblStyleColBandSize w:val="1"/>
      <w:tblCellMar>
        <w:top w:w="100.0" w:type="dxa"/>
        <w:left w:w="100.0" w:type="dxa"/>
        <w:bottom w:w="100.0" w:type="dxa"/>
        <w:right w:w="100.0" w:type="dxa"/>
      </w:tblCellMar>
    </w:tblPr>
  </w:style>
  <w:style w:type="table" w:styleId="aff1" w:customStyle="1">
    <w:basedOn w:val="TableNormal"/>
    <w:tblPr>
      <w:tblStyleRowBandSize w:val="1"/>
      <w:tblStyleColBandSize w:val="1"/>
      <w:tblCellMar>
        <w:top w:w="100.0" w:type="dxa"/>
        <w:left w:w="100.0" w:type="dxa"/>
        <w:bottom w:w="100.0" w:type="dxa"/>
        <w:right w:w="100.0" w:type="dxa"/>
      </w:tblCellMar>
    </w:tblPr>
  </w:style>
  <w:style w:type="table" w:styleId="aff2" w:customStyle="1">
    <w:basedOn w:val="TableNormal"/>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EB14D5"/>
    <w:pPr>
      <w:ind w:left="720"/>
      <w:contextualSpacing w:val="1"/>
    </w:pPr>
  </w:style>
  <w:style w:type="paragraph" w:styleId="Agreement" w:customStyle="1">
    <w:name w:val="Agreement"/>
    <w:basedOn w:val="Normal"/>
    <w:next w:val="Normal"/>
    <w:uiPriority w:val="99"/>
    <w:qFormat w:val="1"/>
    <w:rsid w:val="00EB14D5"/>
    <w:pPr>
      <w:numPr>
        <w:numId w:val="8"/>
      </w:numPr>
      <w:tabs>
        <w:tab w:val="num" w:pos="1619"/>
      </w:tabs>
      <w:overflowPunct w:val="0"/>
      <w:autoSpaceDE w:val="0"/>
      <w:autoSpaceDN w:val="0"/>
      <w:adjustRightInd w:val="0"/>
      <w:spacing w:before="60" w:line="240" w:lineRule="auto"/>
      <w:ind w:left="1616" w:hanging="357"/>
      <w:textAlignment w:val="baseline"/>
    </w:pPr>
    <w:rPr>
      <w:rFonts w:cs="Times New Roman" w:eastAsia="Times New Roman"/>
      <w:b w:val="1"/>
      <w:sz w:val="20"/>
      <w:szCs w:val="20"/>
      <w:lang w:eastAsia="ja-JP"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spacing w:line="240" w:lineRule="auto"/>
    </w:pPr>
    <w:rPr>
      <w:rFonts w:cs="Times New Roman" w:eastAsia="MS Mincho"/>
      <w:b w:val="1"/>
      <w:sz w:val="20"/>
      <w:szCs w:val="20"/>
      <w:lang w:val="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cs="Times New Roman" w:eastAsia="MS Mincho"/>
      <w:b w:val="1"/>
      <w:sz w:val="20"/>
      <w:szCs w:val="20"/>
      <w:lang w:val="en-US"/>
    </w:rPr>
  </w:style>
  <w:style w:type="paragraph" w:styleId="Proposal" w:customStyle="1">
    <w:name w:val="Proposal"/>
    <w:basedOn w:val="Normal"/>
    <w:link w:val="ProposalChar"/>
    <w:qFormat w:val="1"/>
    <w:rsid w:val="00C337A7"/>
    <w:pPr>
      <w:overflowPunct w:val="0"/>
      <w:autoSpaceDE w:val="0"/>
      <w:autoSpaceDN w:val="0"/>
      <w:adjustRightInd w:val="0"/>
      <w:spacing w:after="180" w:line="240" w:lineRule="auto"/>
      <w:jc w:val="both"/>
    </w:pPr>
    <w:rPr>
      <w:rFonts w:ascii="Times New Roman" w:cs="Times New Roman" w:eastAsia="SimSun" w:hAnsi="Times New Roman"/>
      <w:sz w:val="20"/>
      <w:szCs w:val="20"/>
      <w:lang w:eastAsia="x-none" w:val="en-GB"/>
    </w:rPr>
  </w:style>
  <w:style w:type="character" w:styleId="ProposalChar" w:customStyle="1">
    <w:name w:val="Proposal Char"/>
    <w:link w:val="Proposal"/>
    <w:rsid w:val="00C337A7"/>
    <w:rPr>
      <w:rFonts w:ascii="Times New Roman" w:cs="Times New Roman" w:eastAsia="SimSun" w:hAnsi="Times New Roman"/>
      <w:sz w:val="20"/>
      <w:szCs w:val="20"/>
      <w:lang w:eastAsia="x-none" w:val="en-GB"/>
    </w:rPr>
  </w:style>
  <w:style w:type="character" w:styleId="BodyTextChar" w:customStyle="1">
    <w:name w:val="Body Text Char"/>
    <w:link w:val="BodyText"/>
    <w:rsid w:val="00EB2A8A"/>
    <w:rPr>
      <w:lang w:val="en-GB"/>
    </w:rPr>
  </w:style>
  <w:style w:type="paragraph" w:styleId="BodyText">
    <w:name w:val="Body Text"/>
    <w:basedOn w:val="Normal"/>
    <w:link w:val="BodyTextChar"/>
    <w:rsid w:val="00EB2A8A"/>
    <w:pPr>
      <w:pBdr>
        <w:top w:color="000000" w:space="0" w:sz="4" w:val="none"/>
        <w:left w:color="000000" w:space="0" w:sz="4" w:val="none"/>
        <w:bottom w:color="000000" w:space="0" w:sz="4" w:val="none"/>
        <w:right w:color="000000" w:space="0" w:sz="4" w:val="none"/>
        <w:between w:color="000000" w:space="0" w:sz="4" w:val="none"/>
      </w:pBdr>
      <w:spacing w:after="120" w:line="240" w:lineRule="auto"/>
      <w:jc w:val="both"/>
    </w:pPr>
    <w:rPr>
      <w:lang w:val="en-GB"/>
    </w:rPr>
  </w:style>
  <w:style w:type="character" w:styleId="BodyTextChar1" w:customStyle="1">
    <w:name w:val="Body Text Char1"/>
    <w:basedOn w:val="DefaultParagraphFont"/>
    <w:uiPriority w:val="99"/>
    <w:semiHidden w:val="1"/>
    <w:rsid w:val="00EB2A8A"/>
  </w:style>
  <w:style w:type="paragraph" w:styleId="3GPPHeader" w:customStyle="1">
    <w:name w:val="3GPP_Header"/>
    <w:basedOn w:val="Normal"/>
    <w:rsid w:val="00633962"/>
    <w:pPr>
      <w:tabs>
        <w:tab w:val="left" w:pos="1701"/>
        <w:tab w:val="right" w:pos="9639"/>
      </w:tabs>
      <w:overflowPunct w:val="0"/>
      <w:autoSpaceDE w:val="0"/>
      <w:autoSpaceDN w:val="0"/>
      <w:adjustRightInd w:val="0"/>
      <w:spacing w:after="240" w:line="240" w:lineRule="auto"/>
      <w:jc w:val="both"/>
    </w:pPr>
    <w:rPr>
      <w:rFonts w:cs="Times New Roman" w:eastAsia="Times New Roman"/>
      <w:b w:val="1"/>
      <w:sz w:val="24"/>
      <w:szCs w:val="20"/>
      <w:lang w:eastAsia="zh-CN" w:val="en-GB"/>
    </w:rPr>
  </w:style>
  <w:style w:type="table" w:styleId="TableGrid">
    <w:name w:val="Table Grid"/>
    <w:basedOn w:val="TableNormal"/>
    <w:uiPriority w:val="39"/>
    <w:rsid w:val="000F3605"/>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rgat3l/R45MLLxsgJV1a+JQVEw==">CgMxLjAyCWguMWZvYjl0ZTIJaC4zem55c2g3MgloLjRkMzRvZzgyCGguZ2pkZ3hzOAByITFra3NENGRwYjgzWEFObW5hU2cyVzloWUd5MWp1bDZVMg==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2024-04-04T08:57:00Z</dcterms:created>
  <dc:creator>liwenyu@meta.com</dc:creator>
</cp:coreProperties>
</file>